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</w:rPr>
        <w:drawing>
          <wp:inline distB="0" distT="0" distL="0" distR="0">
            <wp:extent cx="1409700" cy="1355997"/>
            <wp:effectExtent b="0" l="0" r="0" t="0"/>
            <wp:docPr descr="C:\Users\MadupeJ\Pictures\index2_01.jpg" id="1" name="image1.png"/>
            <a:graphic>
              <a:graphicData uri="http://schemas.openxmlformats.org/drawingml/2006/picture">
                <pic:pic>
                  <pic:nvPicPr>
                    <pic:cNvPr descr="C:\Users\MadupeJ\Pictures\index2_01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3559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625.0" w:type="dxa"/>
        <w:jc w:val="left"/>
        <w:tblInd w:w="0.0" w:type="dxa"/>
        <w:tblBorders>
          <w:bottom w:color="000000" w:space="0" w:sz="4" w:val="single"/>
        </w:tblBorders>
        <w:tblLayout w:type="fixed"/>
        <w:tblLook w:val="0000"/>
      </w:tblPr>
      <w:tblGrid>
        <w:gridCol w:w="11625"/>
        <w:tblGridChange w:id="0">
          <w:tblGrid>
            <w:gridCol w:w="11625"/>
          </w:tblGrid>
        </w:tblGridChange>
      </w:tblGrid>
      <w:tr>
        <w:trPr>
          <w:trHeight w:val="44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sz w:val="40"/>
                <w:szCs w:val="40"/>
                <w:highlight w:val="white"/>
              </w:rPr>
            </w:pPr>
            <w:r w:rsidDel="00000000" w:rsidR="00000000" w:rsidRPr="00000000">
              <w:rPr>
                <w:sz w:val="40"/>
                <w:szCs w:val="40"/>
                <w:highlight w:val="white"/>
                <w:rtl w:val="0"/>
              </w:rPr>
              <w:t xml:space="preserve">PUBLIC NOTICE </w:t>
            </w:r>
          </w:p>
        </w:tc>
      </w:tr>
    </w:tbl>
    <w:p w:rsidR="00000000" w:rsidDel="00000000" w:rsidP="00000000" w:rsidRDefault="00000000" w:rsidRPr="00000000" w14:paraId="00000006">
      <w:pPr>
        <w:rPr>
          <w:b w:val="1"/>
          <w:i w:val="1"/>
          <w:sz w:val="28"/>
          <w:szCs w:val="28"/>
          <w:highlight w:val="white"/>
        </w:rPr>
      </w:pPr>
      <w:r w:rsidDel="00000000" w:rsidR="00000000" w:rsidRPr="00000000">
        <w:rPr>
          <w:b w:val="1"/>
          <w:i w:val="1"/>
          <w:sz w:val="28"/>
          <w:szCs w:val="28"/>
          <w:highlight w:val="white"/>
          <w:rtl w:val="0"/>
        </w:rPr>
        <w:t xml:space="preserve">                                                                                                07 October 2020</w:t>
      </w:r>
    </w:p>
    <w:p w:rsidR="00000000" w:rsidDel="00000000" w:rsidP="00000000" w:rsidRDefault="00000000" w:rsidRPr="00000000" w14:paraId="00000007">
      <w:pPr>
        <w:rPr>
          <w:b w:val="1"/>
          <w:i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900"/>
          <w:tab w:val="center" w:pos="4680"/>
        </w:tabs>
        <w:rPr/>
      </w:pPr>
      <w:r w:rsidDel="00000000" w:rsidR="00000000" w:rsidRPr="00000000">
        <w:rPr>
          <w:rtl w:val="0"/>
        </w:rPr>
        <w:t xml:space="preserve">              </w:t>
      </w:r>
    </w:p>
    <w:p w:rsidR="00000000" w:rsidDel="00000000" w:rsidP="00000000" w:rsidRDefault="00000000" w:rsidRPr="00000000" w14:paraId="00000009">
      <w:pPr>
        <w:widowControl w:val="0"/>
        <w:spacing w:after="120" w:line="285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MAYOR TO LAUNCH ELECTRIFICATION  , SPORT COMPLEX AND ROAD PROJECTS</w:t>
      </w:r>
    </w:p>
    <w:p w:rsidR="00000000" w:rsidDel="00000000" w:rsidP="00000000" w:rsidRDefault="00000000" w:rsidRPr="00000000" w14:paraId="0000000A">
      <w:pPr>
        <w:widowControl w:val="0"/>
        <w:spacing w:after="120" w:line="285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Mayor of Blouberg Local Municipality,  His Worship Cllr Maseka Pheedi will this week conducts sod-turning ceremonies to mark the official commencement of the following projects;</w:t>
      </w:r>
    </w:p>
    <w:p w:rsidR="00000000" w:rsidDel="00000000" w:rsidP="00000000" w:rsidRDefault="00000000" w:rsidRPr="00000000" w14:paraId="0000000B">
      <w:pPr>
        <w:widowControl w:val="0"/>
        <w:spacing w:after="120" w:line="285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08 OCTOBER 2020                                   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Diepsloot Electrification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Time:10h00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5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Innes Electrification </w:t>
      </w:r>
    </w:p>
    <w:p w:rsidR="00000000" w:rsidDel="00000000" w:rsidP="00000000" w:rsidRDefault="00000000" w:rsidRPr="00000000" w14:paraId="0000000F">
      <w:pPr>
        <w:widowControl w:val="0"/>
        <w:spacing w:after="120" w:line="285" w:lineRule="auto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Time: 12h00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Witten Electrification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Time : 13h30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Diepsloot Electrification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DATE TO BE ANNOUNCED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Senwabarwana bypass road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Senwabarwana Sport Complex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5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120" w:line="285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jc w:val="both"/>
        <w:rPr>
          <w:rFonts w:ascii="Arial Narrow" w:cs="Arial Narrow" w:eastAsia="Arial Narrow" w:hAnsi="Arial Narrow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jc w:val="both"/>
        <w:rPr>
          <w:rFonts w:ascii="Arial Narrow" w:cs="Arial Narrow" w:eastAsia="Arial Narrow" w:hAnsi="Arial Narrow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jc w:val="both"/>
        <w:rPr>
          <w:rFonts w:ascii="Libre Franklin" w:cs="Libre Franklin" w:eastAsia="Libre Franklin" w:hAnsi="Libre Frankl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jc w:val="both"/>
        <w:rPr>
          <w:rFonts w:ascii="Libre Franklin" w:cs="Libre Franklin" w:eastAsia="Libre Franklin" w:hAnsi="Libre Frankl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jc w:val="both"/>
        <w:rPr>
          <w:rFonts w:ascii="Libre Franklin" w:cs="Libre Franklin" w:eastAsia="Libre Franklin" w:hAnsi="Libre Frankl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jc w:val="both"/>
        <w:rPr>
          <w:rFonts w:ascii="Libre Franklin" w:cs="Libre Franklin" w:eastAsia="Libre Franklin" w:hAnsi="Libre Franklin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 Narrow"/>
  <w:font w:name="Libre Franklin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tabs>
        <w:tab w:val="left" w:pos="900"/>
        <w:tab w:val="center" w:pos="468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tabs>
        <w:tab w:val="left" w:pos="900"/>
        <w:tab w:val="center" w:pos="4680"/>
      </w:tabs>
      <w:rPr>
        <w:rFonts w:ascii="Times New Roman" w:cs="Times New Roman" w:eastAsia="Times New Roman" w:hAnsi="Times New Roman"/>
        <w:color w:val="000000"/>
        <w:sz w:val="2"/>
        <w:szCs w:val="2"/>
        <w:highlight w:val="black"/>
        <w:u w:val="none"/>
      </w:rPr>
    </w:pPr>
    <w:r w:rsidDel="00000000" w:rsidR="00000000" w:rsidRPr="00000000">
      <w:rPr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"/>
        <w:szCs w:val="2"/>
        <w:highlight w:val="black"/>
        <w:u w:val="none"/>
        <w:rtl w:val="0"/>
      </w:rPr>
      <w:t xml:space="preserve">                                                                                                                    </w:t>
    </w:r>
  </w:p>
  <w:p w:rsidR="00000000" w:rsidDel="00000000" w:rsidP="00000000" w:rsidRDefault="00000000" w:rsidRPr="00000000" w14:paraId="00000031">
    <w:pPr>
      <w:tabs>
        <w:tab w:val="left" w:pos="900"/>
        <w:tab w:val="center" w:pos="4680"/>
      </w:tabs>
      <w:rPr/>
    </w:pPr>
    <w:r w:rsidDel="00000000" w:rsidR="00000000" w:rsidRPr="00000000">
      <w:rPr>
        <w:rtl w:val="0"/>
      </w:rPr>
      <w:t xml:space="preserve">      </w:t>
    </w:r>
  </w:p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rPr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Issued by Office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The Municipal Manager</w:t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Communications Division</w:t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